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Hindistan’da Hindutva Politikaları ve Müslümanların İnsan Hakları: Hindutva, Keşmir, Göç ve İsrail İlişkileri</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 farklı dinlerin, etnik grupların, dillerin ve kültürlerin bir arada yaşadığı dünyanın en önemli çok kültürlü toplumlarından biridir. Hinduizm ülkedeki çoğunluk dini olmakla birlikte İslam, Hristiyanlık, Sihizm, Budizm, Jainizm ve diğer inançlar da Hindistan toplumunun önemli parçalarını oluşturmaktadır. Özellikle Müslümanlar, Hindistan’ın toplumsal yapısı içerisinde önemli bir yere sahiptir. 2011 nüfus sayımına göre Müslümanlar ülke nüfusunun yaklaşık yüzde 14,2’sini oluşturmaktadır. Bu durum Hindistan’ı dünyanın en büyük Müslüman nüfuslarından birine sahip ülkelerden biri haline getirmektedir.</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 Anayasası din özgürlüğünü güvence altına almakta ve ülkenin farklı dini toplulukların bir arada yaşadığı laik bir demokrasi olarak şekillenmesini öngörmektedir. Bununla birlikte özellikle son yıllarda Hindu milliyetçiliğinin siyasal alandaki etkisinin güçlenmesi, ülkedeki Müslümanların ve diğer dini azınlıkların konumuna ilişkin tartışmaların yoğunlaşmasına neden olmuştur.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tartışmaların merkezinde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Hindutva</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kavramı bulunmaktadır. Hindutva genel olarak Hindu kimliğini Hindistan’ın ulusal ve kültürel kimliğinin merkezine yerleştiren Hindu milliyetçisi bir ideolojik yaklaşım olarak değerlendirilmektedir. Hindutva’nın Hindistan siyasetindeki etkisinin artmasında Bharatiya Janata Party’nin (BJP) yükselişi ve Narendra Modi’nin 2014 yılında başbakan olması önemli bir dönüm noktası olmuştur.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Modi liderliğindeki BJP hükümetleri döneminde Hindutva’nın siyasi söylem ve devlet politikaları üzerindeki etkisinin daha görünür hale geldiği konusunda akademik tartışmalar bulunmaktadır. Bu durum özellikle Müslümanların vatandaşlık hakları, dini özgürlükleri, güvenlikleri ve toplumsal konumları bakımından eleştirilere neden olmuştur.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durumunu yalnızca dini bir mesele olarak değerlendirmek ise yeterli değildir. Vatandaşlık, mülkiyet, ifade özgürlüğü, dini mekânlar, göç, sınır dışı edilme, Keşmir ve Hindistan’ın İsrail ile ilişkileri de bu konunun farklı boyutlarını oluşturmaktadır.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araştırma yazısında öncelikle Hindutva’nın tarihsel ve ideolojik temelleri ele alınacak, ardından Modi ve BJP döneminde Hindutva’nın siyasal etkisi değerlendirilecektir. Daha sonra Hindistan’daki Müslümanların insan hakları sorunları; vatandaşlık politikaları, dini mekânlara ilişkin tartışmalar ve “buldozer politikası” üzerinden incelenecektir. Keşmir meselesi, Hindutva ile Siyonizm arasındaki karşılaştırmalar, Hindistan-İsrail ilişkileri, göç ve Rohingya meselesi de insan hakları perspektifinden ele alınacak ve son olarak Türkiye’nin konuya yaklaşımına değinilecektir.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1. Hindutva’nın Tarihsel ve İdeolojik Temelleri</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güncel siyasi ve toplumsal gelişmeleri anlamak için öncelikle Hindutva kavramının açıklanması gerekmektedir. Hindutva, Hinduizm ile aynı anlama gelmemektedir. Hinduizm temel olarak dini bir inanç sistemi iken Hindutva, Hindu kimliğini Hindistan’ın ulusal ve kültürel kimliğiyle ilişkilendiren siyasi ve ideolojik bir anlayıştır.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 düşüncesinin gelişiminde Vinayak Damodar Savarkar önemli bir yere sahiptir. Savarkar’ın düşüncesinde Hindistan yalnızca siyasi sınırlarla belirlenmiş bir devlet değil, aynı zamanda belirli bir tarihsel ve kültürel medeniyet alanıdır. Bu yaklaşımda Hindu kültürü ve kimliği Hindistan’ın ulusal kimliğinin temel unsurlarından biri olarak görülmektedir.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 düşüncesinin gelişmesinde Rashtriya Swayamsevak Sangh (RSS) gibi Hindu milliyetçisi örgütler de önemli rol oynamıştır. Daha sonraki dönemlerde BJP’nin siyasi bir güç olarak yükselmesiyle Hindutva seçim siyaseti içerisinde daha görünür hale gelmiştir.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Ancak Hindutva’yı bütün Hinduların ortak siyasi görüşü olarak değerlendirmek doğru değildir. Hindistan’daki Hindu toplumunun kendi içerisinde de farklı siyasi ve dini görüşler bulunmaktadır. Aynı şekilde BJP’nin bütün politikalarının yalnızca dini nedenlerle açıklanması da yeterli değildir.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Bununla birlikte akademik literatürde Hindutva’nın ulusal kimlik anlayışının Müslümanlar ve diğer dini azınlıklar üzerindeki etkisi önemli bir tartışma konusudur. Fatma Sarıaslan’ın çalışmaları bu açıdan dikkat çekmektedir. Sarıaslan, Hindu milliyetçiliğinin yükselişinin ve BJP’nin iktidara gelmesinin Hindistan’da Müslümanlara yönelik ayrımcılık ve İslam karşıtlığı tartışmalarını güçlendirdiğini değerlendirmektedir.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nedenle Hindutva yalnızca dini bir kavram olarak değil,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ulusal kimlik, çoğunluk-azınlık ilişkileri ve siyasi iktidar</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açısından değerlendirilmelidir.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2. Narendra Modi ve BJP Döneminde Hindutva’nın Siyasallaşması</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güncel politikaları ele alırken Narendra Modi’nin siyasi konumu özel bir önem taşımaktadır. Modi, BJP’nin lideri olarak 2014 yılında Hindistan başbakanı olmuş ve 2019 ile 2024 seçimlerinin ardından da görevini sürdürmüştür.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Modi’nin iktidara gelmesi Hindutva’nın Hindistan siyasetindeki etkisinin arttığı bir döneme denk gelmiştir. BJP’nin siyasi programında ekonomik kalkınma, ulusal güvenlik ve güçlü devlet anlayışı önemli yer tutarken, partinin Hindutva ile tarihsel bağlantısı da akademik çalışmaların önemli inceleme alanlarından biri olmuştur.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Burada Modi’nin Hindutva’yı ortaya çıkaran kişi olmadığı özellikle belirtilmelidir. Hindutva’nın kökenleri Modi’den çok daha eskiye dayanmaktadır. Ancak Modi ve BJP döneminde Hindutva’nın siyasi söylem ve devlet politikaları üzerindeki etkisinin daha görünür hale geldiği ileri sürülmektedir.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ABD Uluslararası Din Özgürlüğü Komisyonu’nun 2026 raporu, 2014 sonrasında dini azınlıkları etkileyen çeşitli yasa ve politikaların uygulanmaya başlandığını belirtmektedir. Kurum özellikle vatandaşlık, dini özgürlük ve azınlıkların güvenliğiyle ilgili gelişmelere dikkat çekmektedir.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Bununla birlikte Hindistan hükümeti bu eleştirilerin önemli bir bölümünü reddetmekte ve uygulamalarını ulusal güvenlik, kamu düzeni, düzensiz göçle mücadele ve ekonomik kalkınma gibi gerekçelerle savunmaktadır.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Dolayısıyla Modi dönemini değerlendirirken hem hükümetin kendi gerekçelerini hem de insan hakları kuruluşlarının eleştirilerini dikkate almak gerekmektedir.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noktada temel tartışma şudur: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Hindistan’ın çoğunluğu Hindu olan bir toplum olması, devletin Hindu kimliğini ulusal kimliğin merkezine ne ölçüde yerleştirebileceği anlamına gelmektedir?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Demokratik ve laik bir devlet açısından bakıldığında devletin farklı dini gruplara eşit mesafede durması beklenmektedir. Bu nedenle Hindutva’nın devlet politikalarına etkisinin artması, azınlık hakları bakımından önemli bir tartışma yaratmaktadır.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3. Hindistan’daki Müslümanların İnsan Hakları</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karşılaştığı sorunların başında ayrımcılık, nefret söylemi, şiddet olayları ve dini özgürlük tartışmaları gelmektedir.</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Human Rights Watch’un 2026 Dünya Raporu’na göre 2025 yılında Hindistan’da dini azınlıklara yönelik baskılar ve nefret söylemi önemli bir sorun olmaya devam etmiştir. Raporda özellikle Müslümanlara yönelik saldırılar, ayrımcı uygulamalar ve bazı bölgelerde evlerin yıkılması gibi olaylara dikkat çekilmektedir.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USCIRF de Hindistan’daki dini özgürlük koşullarının kötüleştiğini ve Müslümanlar başta olmak üzere dini azınlıkların çeşitli ayrımcılık ve şiddet olaylarıyla karşılaştığını belirtmektedir.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Ancak bu raporların insan hakları kuruluşlarının değerlendirmeleri olduğu ve Hindistan hükümetinin bazı iddialara itiraz ettiği de göz önünde bulundurulmalıdır. Bu nedenle araştırma yazısında “Hindistan’da Müslümanlara sistematik olarak zulmedilmektedir” gibi kesin ifadeler kullanmak yerine,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insan hakları kuruluşlarının sistematik ayrımcılık ve dini özgürlük ihlalleri konusunda ciddi endişeler dile getirdiğini</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belirtmek daha doğru olacaktır.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98" w:before="0" w:line="240" w:lineRule="auto"/>
        <w:ind w:left="0" w:right="0" w:firstLine="0"/>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8"/>
          <w:szCs w:val="48"/>
          <w:u w:val="none"/>
          <w:shd w:fill="auto" w:val="clear"/>
          <w:vertAlign w:val="baseline"/>
          <w:rtl w:val="0"/>
        </w:rPr>
        <w:t xml:space="preserve">3.1. Vatandaşlık Değişiklik Yasası</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konumu açısından en önemli tartışmalardan biri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Citizenship Amendment Act (CAA)</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olarak bilinen Vatandaşlık Değişiklik Yasasıdır.</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2019 yılında kabul edilen CAA, Afganistan, Bangladeş ve Pakistan’dan Hindistan’a gelen Hindu, Sih, Budist, Jain, Parsi ve Hristiyan toplulukların belirli şartlar altında vatandaşlık elde etmelerini kolaylaştırmaktadır. Müslümanlar ise bu düzenlemenin sağladığı kolaylaştırılmış vatandaşlık sürecinin dışında bırakılmıştır.</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 hükümeti yasayı, komşu ülkelerde dini baskıya maruz kalan azınlıkları koruma amacı taşıyan bir düzenleme olarak savunmaktadır.</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Buna karşılık insan hakları kuruluşları, Müslümanların dini kimlikleri nedeniyle bu düzenlemenin dışında bırakılmasının eşitlik ve ayrımcılık açısından sorun oluşturduğunu savunmaktadır.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CAA’nın tartışmalı olmasının temel nedeni vatandaşlığın dini kimlikle ilişkilendirilmesidir. Vatandaşlık modern devlet sisteminde bireyin devletle olan hukuki bağının temelini oluşturmaktadır. Bu nedenle dinin vatandaşlık politikalarında belirleyici bir unsur haline gelmesi, laiklik ve eşit vatandaşlık ilkeleri bakımından önemli sorular ortaya çıkarmaktadır.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4. Dini Mekânlar ve “Buldozer Politikası”</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 son yıllarda en fazla tartışılan uygulamalardan biri “bulldozer justice” veya “buldozer adaleti” olarak adlandırılan yıkımlardır.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Özellikle BJP yönetimindeki bazı eyaletlerde protestolara veya toplumsal olaylara katıldığı iddia edilen kişilerin evlerinin ve iş yerlerinin yıkılması kamuoyunda tartışma yaratmıştır.</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Hükümet ve yerel makamlar çoğu durumda yıkılan yapıların ruhsatsız veya hukuka aykırı olduğunu savunmaktadır. Ancak insan hakları kuruluşları, uygulamaların özellikle Müslümanları orantısız biçimde etkilediğini ve bazı yıkımların fiilen cezalandırma amacı taşıdığını ileri sürmektedir.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Amnesty International’ın 2024 yılında yayımladığı araştırmada Assam, Delhi, Gujarat, Madhya Pradesh ve Uttar Pradesh’te gerçekleştirilen yıkımlar incelenmiş; 2022’deki olaylar sonrasında en az 128 mülkün yıkıldığı ve bu yıkımların en az 617 kişiyi etkilediği belirtilmiştir. Kuruluş, uygulamaların Müslüman topluluklar üzerinde orantısız etkisi olduğunu savunmuştur.</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uygulamalara ilişkin önemli bir gelişme Hindistan Yüksek Mahkemesi’nin 2024 yılında verdiği karardır. Mahkeme, bir kişinin suç işlediği iddiasının onun mülkünün yıkılması için tek başına yeterli olamayacağını belirtmiş ve yıkım öncesinde hukuki süreçlerin işletilmesi gerektiğine hükmetmiştir.</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karar hukuk devleti açısından önemlidir. Çünkü bir kişinin suç işlediği iddia edilse dahi cezanın yargısal süreç sonucunda verilmesi gerekir. Kişinin ailesinin yaşadığı evin yıkılması ise yalnızca mülkiyet hakkını değil, aynı zamanda barınma ve ekonomik güvenlik gibi hakları da etkileyebilir.</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Dini mekânlar konusunda da benzer tartışmalar bulunmaktadır. Camilerin ve diğer dini yapıların bulunduğu alanlarla ilgili yıkım ve mülkiyet tartışmaları zaman zaman Müslüman topluluklar ile yerel yönetimler arasında gerilim yaratmaktadır.</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Ancak burada her cami veya dini yapının yıkımını otomatik olarak dini zulüm şeklinde değerlendirmek doğru değildir. Bazı yıkımlar belediye ve mülkiyet hukuku gerekçeleriyle açıklanmaktadır. Asıl insan hakları sorunu, bu uygulamaların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belirli bir dini topluluğu sistematik veya orantısız biçimde etkileyip etkilemediği</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noktasında ortaya çıkmaktadır.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5. Keşmir Meselesi</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durumunu ele alan bir araştırmada Keşmir meselesine de değinmek gerekmektedir. Ancak Keşmir, Hindistan’daki bütün Müslümanların durumunu açıklayan tek örnek değildir. Daha çok bu sorunun güvenlik ve uluslararası ilişkiler boyutunu ortaya koyan özel bir örnek olarak değerlendirilmelidir.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Keşmir, Hindistan ile Pakistan arasındaki en önemli anlaşmazlık konularından biridir. Bölgenin önemli bir bölümünde Müslüman nüfusun bulunması, meselenin siyasi boyutunun yanı sıra dini kimlik ve insan hakları açısından da tartışılmasına neden olmaktadır.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2019 yılında Hindistan hükümeti Jammu ve Keşmir’in özel statüsünü kaldırmış ve bölgenin idari yapısında önemli değişiklikler gerçekleştirmiştir. Hindistan hükümeti bu kararın bölgenin Hindistan’ın geri kalanıyla bütünleşmesini, ekonomik gelişmenin hızlanmasını ve terörle mücadelenin güçlendirilmesini amaçladığını savunmuştur.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Buna karşılık insan hakları kuruluşları ifade özgürlüğü, siyasi katılım, güvenlik politikaları ve sivil özgürlükler açısından çeşitli eleştiriler yöneltmiştir.</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2025 yılında Pahalgam’da 26 kişinin öldürülmesiyle sonuçlanan saldırının ardından Hindistan ve Pakistan arasında ciddi bir gerilim yaşanmıştır. Saldırının ardından Hindistan’ın farklı bölgelerinde Keşmirli Müslümanlara yönelik tehdit ve saldırı vakaları da rapor edilmiştir.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Human Rights Watch, 2026 raporunda Pahalgam saldırısı sonrasında özellikle Keşmirli öğrenciler, işçiler ve satıcıların bazı bölgelerde tehdit ve saldırılara maruz kaldığını bildirmiştir.</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durum Keşmir meselesinin yalnızca bölgesel bir toprak anlaşmazlığı olmadığını göstermektedir. Keşmir üzerinden ortaya çıkan siyasi ve güvenlik gerilimi, Hindistan’ın diğer bölgelerinde yaşayan Müslümanların toplumsal konumunu ve güvenliğini de etkileyebilmektedir.</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6. Hindutva ve Siyonizm: Karşılaştırmalı Bir Bakış</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 ile Siyonizm arasındaki ilişki son yıllarda akademik çalışmaların da konusu haline gelmiştir.</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Fatma Sarıaslan’ın 2026 yılında yayımlanan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“Siyonizm ve Hindutva: Yahudi ve Hindu Milliyetçiliklerine Dair Karşılaştırmalı Bir Analiz”</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başlıklı çalışması bu açıdan özellikle önemlidir.</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Sarıaslan çalışmasında iki ideolojinin tarihsel gelişimini, ulusal kimlik anlayışlarını ve “öteki” olarak konumlandırılan grupları karşılaştırmalı biçimde ele almaktadır.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Burada önemli bir ayrım yapmak gerekir.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Hindutva ve Siyonizm aynı ideoloji değildir.</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İki ideolojinin tarihsel koşulları ve siyasi amaçları birbirinden farklıdır. Bununla birlikte her iki ideolojide de dini ve kültürel kimliğin ulusal kimliğin oluşumunda önemli bir rol üstlenmesi, karşılaştırmalı çalışmalar yapılmasına imkân vermektedir.</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karşılaştırmada “öteki” kavramı önem kazanmaktadır. Ulusal kimliğin belirli bir dini veya etnik kimlik üzerinden tanımlanması durumunda bu kimliğe dahil olmayan grupların konumu tartışmalı hale gelebilmektedir.</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 bağlamında Müslümanlar, Hindistan’ın ulusal kimliğinin tanımlanması tartışmalarında önemli bir “öteki” konumuna getirilebilmektedir. Siyonizm bağlamında ise Filistinlilerin İsrail’in ulusal kimliği ve devlet yapılanmasıyla ilişkisi tartışılmaktadır.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Ancak bu iki durumu tamamen aynı kabul etmek doğru değildir. Buradaki amaç iki farklı tarihi ve siyasi durumu eşitlemek değil,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dini milliyetçiliğin çoğunluk ve azınlık ilişkileri üzerindeki etkilerini karşılaştırmalı olarak değerlendirmektir.</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7. Hindistan-İsrail İlişkilerinin Güçlenmesi</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Hindutva-Siyonizm tartışmasının bir diğer boyutu Hindistan ve İsrail arasındaki ilişkilerin gelişimidir.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 ve İsrail 1992 yılında diplomatik ilişkiler kurmuştur. Ancak ilişkiler özellikle Narendra Modi döneminde önemli ölçüde güçlenmiştir.</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İki ülke arasındaki ilişkiler savunma, istihbarat, teknoloji, tarım ve güvenlik gibi alanlarda gelişmiştir. Hindistan’ın İsrail’den savunma teknolojileri satın alması ve iki ülkenin güvenlik alanındaki işbirliği, ilişkinin stratejik boyutunu güçlendirmiştir.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Hindistan’ın İsrail ile yakınlaşmasını yalnızca Hindutva üzerinden açıklamak doğru değildir. Savunma ihtiyaçları, güvenlik politikaları, teknoloji transferi ve ekonomik çıkarlar da iki ülke arasındaki ilişkinin önemli nedenleridir.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Bununla birlikte akademik literatürde Hindutva ile Siyonizm arasındaki ideolojik yakınlığın da Hindistan-İsrail ilişkilerinin gelişiminde rol oynayabileceği savunulmaktadır.</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durum özellikle Filistin meselesi açısından dikkat çekmektedir. Hindistan geçmişte Filistin konusunda daha belirgin biçimde Filistin halkının kendi kaderini tayin hakkını destekleyen bir politika izlerken, Modi döneminde İsrail ile stratejik ilişkilerin daha görünür hale geldiği görülmektedir.</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Dolayısıyla Hindistan-İsrail ilişkileri yalnızca iki ülke arasındaki stratejik ortaklık olarak değil,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Hindistan’ın değişen siyasi ve ideolojik yöneliminin dış politikaya yansıması</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açısından da değerlendirilebilir.</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8. Göç, Vatandaşlık ve Rohingya Meselesi</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insan hakları sorunlarının önemli bir boyutunu da göç ve vatandaşlık politikaları oluşturmaktadır.</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Özellikle Bangladeş sınırına yakın bölgelerde yaşayan Bengalce konuşan Müslümanlar uzun süredir “yasadışı göç” tartışmalarının merkezinde bulunmaktadır.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 hükümeti, Bangladeş’ten gelen düzensiz göçün sınır bölgelerinin demografik yapısını değiştirdiğini ve ulusal güvenlik açısından sorun oluşturduğunu savunmaktadır.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Ancak burada önemli bir insan hakları sorunu ortaya çıkmaktadır: Bir kişinin gerçekten düzensiz göçmen olup olmadığı hangi hukuki süreçle belirlenecektir?</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2025 yılında Hindistan’da bazı Bengalce konuşan Müslümanların Bangladeş’e gönderildiği bildirilmiştir. Human Rights Watch, sınır dışı edilenler arasında Hindistan vatandaşı olan kişilerin de bulunduğunu ve bazı kişilerin yeterli hukuki süreç işletilmeden sınır dışı edildiğini ileri sürmüştür.</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Assam’da gerçekleştirilen bazı tahliye ve yıkım uygulamalarının da binlerce aileyi etkilediği ve bu kişilerin önemli bölümünün Bengalce konuşan Müslümanlardan oluştuğu raporlanmıştır.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durum vatandaşlık ile göç arasındaki ilişkinin ne kadar önemli olduğunu göstermektedir. Bir kişinin dini veya dilsel kimliği nedeniyle “yabancı” olarak görülmesi, vatandaşlık hakkı ve hukuki güvence bakımından ciddi sorunlara yol açabilir.</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Rohingya Müslümanları</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Rohingya Müslümanları da Hindistan’ın göç politikaları açısından önemli bir örnektir.</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Myanmar’daki şiddet ve zulümden kaçarak farklı ülkelere sığınan Rohingyaların bir bölümü Hindistan’a ulaşmıştır. Ancak Hindistan, Rohingyaların önemli bir kısmına resmi mülteci statüsü tanımamıştır.</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Human Rights Watch’un 2026 raporuna göre 2025 yılında bazı Rohingyalar Bangladeş’e gönderilmiş, bazıları gözaltına alınmış veya sınır dışı edilme riskiyle karşı karşıya kalmıştır.</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Burada temel insan hakları tartışması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geri göndermeme ilkesi</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üzerinden ortaya çıkmaktadır. Bir mültecinin geri gönderildiği ülkede zulüm veya ciddi insan hakları ihlalleriyle karşılaşma riski varsa, sınır dışı edilmesi önemli hukuki ve insani sorunlara neden olabilir.</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Dolayısıyla Hindistan’da göç politikaları ile dini azınlıkların haklarını birbirinden tamamen ayırmak mümkün değildir.</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9. Türkiye’nin Konuya Yaklaşımı</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durumu Türkiye açısından da dikkat çekici bir konudur.</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Türkiye ve Hindistan uzun süredir diplomatik ilişkilere sahip iki ülkedir. Bununla birlikte iki ülke arasında özellikle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Keşmir meselesi</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konusunda farklı yaklaşımlar bulunmaktadır.</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Türkiye, Keşmir konusunda Pakistan’ın yaklaşımına daha yakın bir tutum sergilemekte ve Keşmir halkının haklarının dikkate alınması gerektiğini savunmaktadır. Hindistan ise Keşmir’i kendi egemenliği içerisinde bulunan bir mesele olarak değerlendirmekte ve Türkiye’nin açıklamalarına itiraz etmektedir.</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nedenle Keşmir meselesi zaman zaman Türkiye-Hindistan ilişkilerinde diplomatik gerilimlere neden olmuştur.</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Türkiye’nin Filistin meselesindeki tutumu ile Hindistan’ın İsrail ile geliştirdiği stratejik ilişki arasında da önemli farklılık bulunmaktadır. Türkiye Filistin konusunda İsrail’e yönelik daha eleştirel bir yaklaşım sergilerken Hindistan, özellikle Modi döneminde İsrail ile savunma ve güvenlik alanlarındaki ilişkilerini güçlendirmiştir.</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Bununla birlikte Türkiye-Hindistan ilişkileri yalnızca Keşmir veya dini meselelerden ibaret değildir. Ticaret, yatırım, turizm ve diplomatik ilişkiler de iki ülke arasındaki ilişkinin önemli parçalarıdır.</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nedenle Türkiye’nin Hindistan’daki Müslümanların durumuna yaklaşımı hem insan hakları ve insani ilkeler hem de Türkiye’nin Hindistan, Pakistan ve İsrail’e yönelik dış politika dengeleri çerçevesinde değerlendirilmelidir.</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321" w:before="0" w:line="240" w:lineRule="auto"/>
        <w:ind w:left="0" w:right="0" w:firstLine="0"/>
        <w:jc w:val="left"/>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60"/>
          <w:szCs w:val="60"/>
          <w:u w:val="none"/>
          <w:shd w:fill="auto" w:val="clear"/>
          <w:vertAlign w:val="baseline"/>
          <w:rtl w:val="0"/>
        </w:rPr>
        <w:t xml:space="preserve">Sonuç</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Hindistan’daki Müslümanların durumu, yalnızca dini bir azınlığın toplum içerisindeki konumundan ibaret değildir. Konu; milliyetçilik, vatandaşlık, insan hakları, göç, güvenlik, dış politika ve uluslararası ilişkiler gibi birçok farklı alanın kesişiminde bulunmaktadır.</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Hindutva’nın Hindistan siyasetindeki etkisinin güçlenmesi, ülkenin ulusal kimliğinin nasıl tanımlanacağı konusunda önemli tartışmalar yaratmıştır. Narendra Modi ve BJP döneminde Hindutva’nın siyasi söylem üzerindeki etkisinin daha görünür hale gelmesi, özellikle Müslümanların vatandaşlık ve dini özgürlükleri açısından eleştirilere neden olmuştur.</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Vatandaşlık Değişiklik Yasası bu tartışmaların en önemli örneklerinden biridir. Müslümanların düzenleme kapsamında bırakılması, vatandaşlık ile dini kimlik arasındaki ilişkinin güçlenmesi açısından önemli bir tartışma yaratmıştır.</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Benzer şekilde “buldozer politikası” olarak adlandırılan yıkımlar mülkiyet, barınma ve hukuk devleti açısından sorunlar ortaya çıkarmıştır. Hindistan Yüksek Mahkemesi’nin 2024 yılında yıkımlara ilişkin hukuki güvenceleri güçlendirmesi bu açıdan önemli bir gelişmedir.</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Keşmir meselesi ise Hindistan’daki Müslümanların durumunun güvenlik politikaları ve uluslararası ilişkilerle kesiştiği önemli bir örnektir. Bölgedeki siyasi gelişmeler ve Hindistan-Pakistan arasındaki gerilim, Keşmirli Müslümanların yanı sıra Hindistan’ın farklı bölgelerinde yaşayan Müslümanların da toplumsal güvenliğini etkileyebilmektedir.</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Göç meselesi ise çalışmaya başka bir boyut kazandırmaktadır. Bengalce konuşan Müslümanların “yasadışı göçmen” olarak değerlendirilmesi ve Rohingya mültecilerin sınır dışı edilmesiyle ilgili gelişmeler, vatandaşlık ve göç politikalarının insan haklarından ayrı düşünülemeyeceğini göstermektedir.</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Hindutva ve Siyonizm arasındaki karşılaştırmalar ile Hindistan-İsrail ilişkilerinin gelişmesi ise konunun uluslararası boyutunu ortaya çıkarmaktadır. İki ideolojinin aynı olmadığı açık olmakla birlikte, her ikisinin de dini ve kültürel kimliğin ulusal kimlik üzerindeki etkisi açısından karşılaştırılması mümkündür. Hindistan-İsrail ilişkilerinin özellikle Modi döneminde güçlenmesi de bu açıdan dikkat çekici bir gelişmedir.</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Sonuç olarak Hindistan’daki Müslümanların durumu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tek bir yasa, tek bir siyasi lider veya tek bir olay üzerinden açıklanabilecek kadar basit değildir.</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Hindutva’nın yükselişi, BJP’nin iktidarı, vatandaşlık politikaları, dini özgürlükler, Keşmir, göç ve Hindistan-İsrail ilişkileri birlikte değerlendirildiğinde çok daha kapsamlı bir tablo ortaya çıkmaktadır.</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nedenle Hindistan örneği, günümüzde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çoğunluk milliyetçiliği ile azınlık hakları, vatandaşlık ile dini kimlik ve göç politikaları ile insan hakları arasındaki ilişkinin incelenmesi açısından önemli bir örnek</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oluşturmaktadır. Hindistan’ın karşı karşıya olduğu temel sorunlardan biri, çoğunluğun kültürel kimliği ile devletin bütün vatandaşlara eşit davranma yükümlülüğü arasında nasıl bir denge kurulacağıdır.</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 açıdan bakıldığında Hindistan’daki Müslümanların durumu yalnızca ülkenin iç politikası açısından değil, aynı zamanda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insan hakları, göç, azınlık hakları ve uluslararası ilişkiler açısından da değerlendirilmesi gereken çok boyutlu bir mesele</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 olarak karşımıza çıkmaktadır.</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98" w:before="0" w:line="240" w:lineRule="auto"/>
        <w:ind w:left="0" w:right="0" w:firstLine="0"/>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8"/>
          <w:szCs w:val="48"/>
          <w:u w:val="none"/>
          <w:shd w:fill="auto" w:val="clear"/>
          <w:vertAlign w:val="baseline"/>
          <w:rtl w:val="0"/>
        </w:rPr>
        <w:t xml:space="preserve">Kaynakça</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Amnesty International. (2024).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“If you speak up, your house will be demolished”: Bulldozer injustice in India.</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Human Rights Watch. (2024).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India: Activates discriminatory citizenship law.</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Human Rights Watch. (2026).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World Report 2026: India.</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Pew Research Center. (2021).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Religion in India: Tolerance and Segregation.</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Sarıaslan, F. (2023).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Hindu Nationalism and Rising Anti-Islamism in India.</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Sarıaslan, F. (2026).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Siyonizm ve Hindutva: Yahudi ve Hindu Milliyetçiliklerine Dair Karşılaştırmalı Bir Analiz.</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U.S. Commission on International Religious Freedom. (2026).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2026 Annual Report: India.</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Bulut, E. (2026).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From Palestine Ally to Zionist Partner: India-Israel Relations, 2014–2025.</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00"/>
        <w:jc w:val="left"/>
        <w:rPr>
          <w:color w:val="000000"/>
          <w:sz w:val="40"/>
          <w:szCs w:val="40"/>
          <w:u w:val="no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Government of India, Office of the Registrar General &amp; Census Commissioner. </w:t>
      </w:r>
      <w:r w:rsidDel="00000000" w:rsidR="00000000" w:rsidRPr="00000000">
        <w:rPr>
          <w:rFonts w:ascii="Times New Roman" w:cs="Times New Roman" w:eastAsia="Times New Roman" w:hAnsi="Times New Roman"/>
          <w:b w:val="0"/>
          <w:bCs w:val="0"/>
          <w:i w:val="1"/>
          <w:iCs w:val="1"/>
          <w:smallCaps w:val="0"/>
          <w:strike w:val="0"/>
          <w:color w:val="000000"/>
          <w:sz w:val="40"/>
          <w:szCs w:val="40"/>
          <w:u w:val="none"/>
          <w:shd w:fill="auto" w:val="clear"/>
          <w:vertAlign w:val="baseline"/>
          <w:rtl w:val="0"/>
        </w:rPr>
        <w:t xml:space="preserve">Census of India 2011.</w:t>
      </w:r>
      <w:r w:rsidDel="00000000" w:rsidR="00000000" w:rsidRPr="00000000">
        <w:rPr>
          <w:rtl w:val="0"/>
        </w:rPr>
      </w:r>
    </w:p>
    <w:sectPr>
      <w:headerReference r:id="rId6" w:type="default"/>
      <w:footerReference r:id="rId7" w:type="default"/>
      <w:pgSz w:h="16838" w:w="11906"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500"/>
      </w:pPr>
      <w:rPr>
        <w:rFonts w:ascii="Times New Roman" w:cs="Times New Roman" w:eastAsia="Times New Roman" w:hAnsi="Times New Roman"/>
        <w:b w:val="0"/>
        <w:bCs w:val="0"/>
        <w:i w:val="0"/>
        <w:iCs w:val="0"/>
        <w:smallCaps w:val="0"/>
        <w:strike w:val="0"/>
        <w:shd w:fill="auto" w:val="clear"/>
        <w:vertAlign w:val="baseline"/>
      </w:rPr>
    </w:lvl>
    <w:lvl w:ilvl="1">
      <w:start w:val="1"/>
      <w:numFmt w:val="bullet"/>
      <w:lvlText w:val="•"/>
      <w:lvlJc w:val="left"/>
      <w:pPr>
        <w:ind w:left="940" w:hanging="500"/>
      </w:pPr>
      <w:rPr>
        <w:rFonts w:ascii="Times New Roman" w:cs="Times New Roman" w:eastAsia="Times New Roman" w:hAnsi="Times New Roman"/>
        <w:b w:val="0"/>
        <w:bCs w:val="0"/>
        <w:i w:val="0"/>
        <w:iCs w:val="0"/>
        <w:smallCaps w:val="0"/>
        <w:strike w:val="0"/>
        <w:shd w:fill="auto" w:val="clear"/>
        <w:vertAlign w:val="baseline"/>
      </w:rPr>
    </w:lvl>
    <w:lvl w:ilvl="2">
      <w:start w:val="1"/>
      <w:numFmt w:val="bullet"/>
      <w:lvlText w:val="•"/>
      <w:lvlJc w:val="left"/>
      <w:pPr>
        <w:ind w:left="1160" w:hanging="500"/>
      </w:pPr>
      <w:rPr>
        <w:rFonts w:ascii="Times New Roman" w:cs="Times New Roman" w:eastAsia="Times New Roman" w:hAnsi="Times New Roman"/>
        <w:b w:val="0"/>
        <w:bCs w:val="0"/>
        <w:i w:val="0"/>
        <w:iCs w:val="0"/>
        <w:smallCaps w:val="0"/>
        <w:strike w:val="0"/>
        <w:shd w:fill="auto" w:val="clear"/>
        <w:vertAlign w:val="baseline"/>
      </w:rPr>
    </w:lvl>
    <w:lvl w:ilvl="3">
      <w:start w:val="1"/>
      <w:numFmt w:val="bullet"/>
      <w:lvlText w:val="•"/>
      <w:lvlJc w:val="left"/>
      <w:pPr>
        <w:ind w:left="1380" w:hanging="500"/>
      </w:pPr>
      <w:rPr>
        <w:rFonts w:ascii="Times New Roman" w:cs="Times New Roman" w:eastAsia="Times New Roman" w:hAnsi="Times New Roman"/>
        <w:b w:val="0"/>
        <w:bCs w:val="0"/>
        <w:i w:val="0"/>
        <w:iCs w:val="0"/>
        <w:smallCaps w:val="0"/>
        <w:strike w:val="0"/>
        <w:shd w:fill="auto" w:val="clear"/>
        <w:vertAlign w:val="baseline"/>
      </w:rPr>
    </w:lvl>
    <w:lvl w:ilvl="4">
      <w:start w:val="1"/>
      <w:numFmt w:val="bullet"/>
      <w:lvlText w:val="•"/>
      <w:lvlJc w:val="left"/>
      <w:pPr>
        <w:ind w:left="1600" w:hanging="500"/>
      </w:pPr>
      <w:rPr>
        <w:rFonts w:ascii="Times New Roman" w:cs="Times New Roman" w:eastAsia="Times New Roman" w:hAnsi="Times New Roman"/>
        <w:b w:val="0"/>
        <w:bCs w:val="0"/>
        <w:i w:val="0"/>
        <w:iCs w:val="0"/>
        <w:smallCaps w:val="0"/>
        <w:strike w:val="0"/>
        <w:shd w:fill="auto" w:val="clear"/>
        <w:vertAlign w:val="baseline"/>
      </w:rPr>
    </w:lvl>
    <w:lvl w:ilvl="5">
      <w:start w:val="1"/>
      <w:numFmt w:val="bullet"/>
      <w:lvlText w:val="•"/>
      <w:lvlJc w:val="left"/>
      <w:pPr>
        <w:ind w:left="1820" w:hanging="500"/>
      </w:pPr>
      <w:rPr>
        <w:rFonts w:ascii="Times New Roman" w:cs="Times New Roman" w:eastAsia="Times New Roman" w:hAnsi="Times New Roman"/>
        <w:b w:val="0"/>
        <w:bCs w:val="0"/>
        <w:i w:val="0"/>
        <w:iCs w:val="0"/>
        <w:smallCaps w:val="0"/>
        <w:strike w:val="0"/>
        <w:shd w:fill="auto" w:val="clear"/>
        <w:vertAlign w:val="baseline"/>
      </w:rPr>
    </w:lvl>
    <w:lvl w:ilvl="6">
      <w:start w:val="1"/>
      <w:numFmt w:val="bullet"/>
      <w:lvlText w:val="•"/>
      <w:lvlJc w:val="left"/>
      <w:pPr>
        <w:ind w:left="2040" w:hanging="500"/>
      </w:pPr>
      <w:rPr>
        <w:rFonts w:ascii="Times New Roman" w:cs="Times New Roman" w:eastAsia="Times New Roman" w:hAnsi="Times New Roman"/>
        <w:b w:val="0"/>
        <w:bCs w:val="0"/>
        <w:i w:val="0"/>
        <w:iCs w:val="0"/>
        <w:smallCaps w:val="0"/>
        <w:strike w:val="0"/>
        <w:shd w:fill="auto" w:val="clear"/>
        <w:vertAlign w:val="baseline"/>
      </w:rPr>
    </w:lvl>
    <w:lvl w:ilvl="7">
      <w:start w:val="1"/>
      <w:numFmt w:val="bullet"/>
      <w:lvlText w:val="•"/>
      <w:lvlJc w:val="left"/>
      <w:pPr>
        <w:ind w:left="2260" w:hanging="500"/>
      </w:pPr>
      <w:rPr>
        <w:rFonts w:ascii="Times New Roman" w:cs="Times New Roman" w:eastAsia="Times New Roman" w:hAnsi="Times New Roman"/>
        <w:b w:val="0"/>
        <w:bCs w:val="0"/>
        <w:i w:val="0"/>
        <w:iCs w:val="0"/>
        <w:smallCaps w:val="0"/>
        <w:strike w:val="0"/>
        <w:shd w:fill="auto" w:val="clear"/>
        <w:vertAlign w:val="baseline"/>
      </w:rPr>
    </w:lvl>
    <w:lvl w:ilvl="8">
      <w:start w:val="1"/>
      <w:numFmt w:val="bullet"/>
      <w:lvlText w:val="•"/>
      <w:lvlJc w:val="left"/>
      <w:pPr>
        <w:ind w:left="2480" w:hanging="500"/>
      </w:pPr>
      <w:rPr>
        <w:rFonts w:ascii="Times New Roman" w:cs="Times New Roman" w:eastAsia="Times New Roman" w:hAnsi="Times New Roman"/>
        <w:b w:val="0"/>
        <w:bCs w:val="0"/>
        <w:i w:val="0"/>
        <w:iCs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