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jc w:val="center"/>
        <w:rPr>
          <w:rFonts w:ascii="Times New Roman" w:cs="Times New Roman" w:eastAsia="Times New Roman" w:hAnsi="Times New Roman"/>
          <w:b w:val="1"/>
          <w:bCs w:val="1"/>
          <w:sz w:val="24"/>
          <w:szCs w:val="24"/>
        </w:rPr>
      </w:pPr>
      <w:bookmarkStart w:colFirst="0" w:colLast="0" w:name="_evxhzy65bxyi" w:id="0"/>
      <w:bookmarkEnd w:id="0"/>
      <w:r w:rsidDel="00000000" w:rsidR="00000000" w:rsidRPr="00000000">
        <w:rPr>
          <w:rFonts w:ascii="Times New Roman" w:cs="Times New Roman" w:eastAsia="Times New Roman" w:hAnsi="Times New Roman"/>
          <w:b w:val="1"/>
          <w:bCs w:val="1"/>
          <w:sz w:val="24"/>
          <w:szCs w:val="24"/>
          <w:rtl w:val="0"/>
        </w:rPr>
        <w:t xml:space="preserve">Avrupa’da Aşırı Sağın Yükselişi ve Göç Politikalarının Dönüşümü: İnsan Hakları Perspektifinden Güncel Bir Analiz</w:t>
      </w:r>
    </w:p>
    <w:p w:rsidR="00000000" w:rsidDel="00000000" w:rsidP="00000000" w:rsidRDefault="00000000" w:rsidRPr="00000000" w14:paraId="00000002">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fnugpiyayiw4" w:id="1"/>
      <w:bookmarkEnd w:id="1"/>
      <w:r w:rsidDel="00000000" w:rsidR="00000000" w:rsidRPr="00000000">
        <w:rPr>
          <w:rFonts w:ascii="Times New Roman" w:cs="Times New Roman" w:eastAsia="Times New Roman" w:hAnsi="Times New Roman"/>
          <w:b w:val="1"/>
          <w:bCs w:val="1"/>
          <w:sz w:val="24"/>
          <w:szCs w:val="24"/>
          <w:rtl w:val="0"/>
        </w:rPr>
        <w:t xml:space="preserve">Giriş</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Avrupa’da göç ve sığınma meselesi, son yıllarda yalnızca insani veya ekonomik bir konu olmaktan çıkarak siyasal tartışmaların ve seçim rekabetinin temel başlıklarından biri haline gelmiştir. Özellikle düzensiz göç, sınır güvenliği, sığınma başvurularının değerlendirilmesi ve geri gönderme politikaları, Avrupa ülkelerinde kamu politikalarının önemli unsurları olarak öne çıkmaktadır. Bu süreçte radikal sağ ve aşırı sağ olarak nitelendirilen siyasi aktörlerin göç konusunu ulusal kimlik, kamu düzeni ve güvenlik meseleleriyle ilişkilendiren söylemleri dikkat çekmektedir.</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siyasal dönüşüm, 2024 Avrupa Parlamentosu seçimleri sonrasında Avrupa siyasetindeki parti dengeleri bakımından da önem kazanmıştır. Seçimler sonrasında Avrupa Parlamentosu’nda Avrupa Halk Partisi (EPP) 188 sandalye ile en büyük siyasi grup olurken, Sosyalistler ve Demokratlar (S&amp;D) 136, Patriots for Europe 84 ve Avrupa Muhafazakârları ve Reformistleri (ECR) 78 sandalyeye sahip olmuştur.</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Bu tablo, Avrupa siyasetinde göç, sınır yönetimi ve ulusal egemenlik konularındaki tartışmaların önemini koruduğunu göstermektedir.</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Göçün siyasallaşması yalnızca aşırı sağ partilerin güçlenmesiyle açıklanabilecek tek yönlü bir süreç değildir. Ana akım partilerin seçim rekabeti, kamuoyunun göçe ilişkin tutumları, güvenlik kaygıları, düzensiz göç hareketlerindeki değişimler ve Avrupa Birliği (AB) düzeyindeki politika tercihleri de göç politikalarının dönüşümünde etkili olmaktadır. Araştırmalar, radikal sağ partilerin parlamentoda temsil edilmesinin hükümetlerin göç politikalarını daha kısıtlayıcı yönde şekillendirebildiğini, ancak bu ilişkinin parti rekabeti ve koalisyon siyaseti gibi diğer faktörlerle birlikte değerlendirilmesi gerektiğini göstermektedir.</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dönüşümün en önemli güncel örneklerinden biri AB’nin Yeni Göç ve İltica Paktı’dır. Pakt 14 Mayıs 2024 tarihinde Avrupa Birliği Konseyi tarafından kabul edilmiş ve yeni kurallar 12 Haziran 2026 tarihinde uygulanmaya başlamıştır.</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2025 yılında AB+ ülkelerinde yaklaşık 822.000 uluslararası koruma başvurusu yapılmış olması da göç ve sığınma yönetiminin güncelliğini koruduğunu göstermektedir.</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ocn0fehv3d43" w:id="2"/>
      <w:bookmarkEnd w:id="2"/>
      <w:r w:rsidDel="00000000" w:rsidR="00000000" w:rsidRPr="00000000">
        <w:rPr>
          <w:rFonts w:ascii="Times New Roman" w:cs="Times New Roman" w:eastAsia="Times New Roman" w:hAnsi="Times New Roman"/>
          <w:b w:val="1"/>
          <w:bCs w:val="1"/>
          <w:sz w:val="24"/>
          <w:szCs w:val="24"/>
          <w:rtl w:val="0"/>
        </w:rPr>
        <w:t xml:space="preserve">Avrupa’da Aşırı Sağın Yükselişi ve Göçün Siyasallaşması</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Avrupa siyasetinde “aşırı sağ” ve “radikal sağ” kavramları zaman zaman birbirinin yerine kullanılsa da akademik literatürde bu kavramlar arasında ayrım yapılabilmektedir. Radikal sağ aktörler seçimlere ve demokratik kurumlara katılmaya devam ederken çoğunlukçu milliyetçilik, göç karşıtlığı ve güçlü devlet vurgusunu öne çıkarabilmektedir. Aşırı sağ ise demokratik düzenin temel ilkelerini daha açık biçimde reddeden aktörleri de kapsayabilecek daha geniş ve farklı bir kategori olarak kullanılabilmektedir. </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 Avrupa Parlamentosu seçimleri, Avrupa siyasetinde sağ ve radikal sağ partilerin görünürlüğünün arttığı bir siyasi ortam ortaya koymuştur. Avrupa Parlamentosu’nda Patriots for Europe ve ECR gibi grupların önemli sayıda sandalye elde etmesi, göç, sınır kontrolü ve ulusal egemenlik konularının Avrupa siyasetindeki ağırlığını göstermektedir. Bununla birlikte bu sonuçlar, Avrupa siyasetinin tamamının aşırı sağ partiler tarafından belirlendiği anlamına gelmemektedir. Avrupa Parlamentosu’ndaki en büyük siyasi grup hâlen EPP olmuştur.</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Göçün siyasallaşmasında aşırı sağ partilerin kullandığı güvenlik ve tehdit söylemleri önemli bir yere sahiptir. Avrupa’daki aşırı sağ partilerin göçmenleri ulusal güvenlik, kültürel bütünlük ve toplumsal düzen açısından tehdit oluşturabilecek bir unsur olarak çerçeveleyebildiği çeşitli çalışmalar tarafından ortaya konulmaktadır.</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Bu yaklaşım, göç politikalarının sosyal politika veya insani koruma alanından güvenlik politikası alanına doğru kaymasına katkıda bulunabilmektedir.</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Bununla birlikte göçün siyasallaşmasını yalnızca aşırı sağ partilerin söylemleriyle açıklamak yeterli değildir. Ana akım siyasi partiler de seçmen rekabeti nedeniyle göç konusunda daha kısıtlayıcı pozisyonlar benimseyebilmektedir. Batı Avrupa demokrasilerine ilişkin araştırmalar, ana akım partilerin göç konusunda giderek daha kısıtlayıcı pozisyonlara yöneldiğini göstermektedir.</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Bu durum, göç politikasındaki dönüşümün yalnızca aşırı sağın seçim başarısının doğrudan sonucu olmadığına işaret etmektedir.</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Radikal sağ partilerin parlamentodaki varlığının hükümetlerin göç politikaları üzerindeki etkisi de akademik araştırmalarda incelenmiştir. 24 Avrupa demokrasisini kapsayan bir araştırma, radikal sağ partilerin parlamentoda temsil edilmesinin, özellikle hükümetlerin oluşum sürecinde, daha kısıtlayıcı göç politikalarıyla ilişkili olduğunu ortaya koymaktadır.</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Buradaki önemli nokta, radikal sağ partilerin her zaman doğrudan hükümette bulunmasının gerekli olmamasıdır; parlamentodaki varlıkları da diğer partilerin politika pozisyonlarını etkileyebilmektedir.</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Dolayısıyla Avrupa’da göçün siyasallaşması, aşırı sağın yükselişi ile ana akım partilerin buna verdiği siyasal tepkilerin birlikte değerlendirilmesini gerektirmektedir. Aşırı sağ partiler göç konusunu siyasal gündemde daha görünür hale getirebilirken, ana akım partiler de seçim rekabeti nedeniyle göç konusunda daha kısıtlayıcı politikaları benimseyebilmektedir. Bu nedenle aşırı sağın yükselişi ile göç politikalarının dönüşümü arasında ilişki bulunmakla birlikte, söz konusu ilişki doğrudan ve tek yönlü bir nedensellik biçiminde ele alınmamalıdır.</w:t>
      </w:r>
    </w:p>
    <w:p w:rsidR="00000000" w:rsidDel="00000000" w:rsidP="00000000" w:rsidRDefault="00000000" w:rsidRPr="00000000" w14:paraId="0000000E">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t5tilpw5btvv" w:id="3"/>
      <w:bookmarkEnd w:id="3"/>
      <w:r w:rsidDel="00000000" w:rsidR="00000000" w:rsidRPr="00000000">
        <w:rPr>
          <w:rFonts w:ascii="Times New Roman" w:cs="Times New Roman" w:eastAsia="Times New Roman" w:hAnsi="Times New Roman"/>
          <w:b w:val="1"/>
          <w:bCs w:val="1"/>
          <w:sz w:val="24"/>
          <w:szCs w:val="24"/>
          <w:rtl w:val="0"/>
        </w:rPr>
        <w:t xml:space="preserve">Avrupa’da Göç ve Sığınma Politikalarının Dönüşümü</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Avrupa’da göç ve sığınma politikalarındaki dönüşümün en önemli güncel örneklerinden biri Yeni Göç ve İltica Paktı’dır. AB Konseyi, Paktı 14 Mayıs 2024 tarihinde kabul etmiş ve düzenlemeler 12 Haziran 2026 tarihinde uygulanmaya başlamıştır. Pakt, göç ve sığınma yönetimini daha ortak bir çerçeveye taşımayı, sınırda kayıt ve tarama süreçlerini düzenlemeyi, sığınma prosedürlerini ortaklaştırmayı ve üye devletler arasında sorumluluk paylaşımını güçlendirmeyi amaçlamaktadır.</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Pakt kapsamında düzensiz göçmenlerin ve sığınma talebinde bulunan kişilerin sınırda daha sistematik biçimde kayıt altına alınması, belirli durumlarda sınır prosedürlerinin uygulanması ve geri dönüş süreçlerinin hızlandırılması öngörülmektedir. Bu düzenlemeler bir taraftan AB’nin göç yönetimini daha öngörülebilir ve koordineli hale getirme amacı taşırken, diğer taraftan sığınma hakkına erişim, bireysel değerlendirme ve geri gönderme yasağı bakımından hukuki tartışmaları da beraberinde getirmektedir.</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Göç politikalarının dönüşümü yalnızca AB düzeyinde gerçekleşmemektedir. Üye devletler de sınır kontrollerini güçlendirme, düzensiz göçü azaltma ve geri dönüşleri artırma yönünde çeşitli politikalar uygulamaktadır. İtalya’nın sınır ve geri dönüş politikaları, Almanya’nın sınır kontrollerini ve sığınma politikalarını yeniden düzenlemeye yönelik adımları ve Fransa’nın göç ve sınır yönetimine ilişkin düzenlemeleri, bu genel dönüşümün farklı ulusal örneklerini oluşturmaktadır.</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ülkelerin politikaları birbirinden tamamen aynı değildir. Bunun temel nedenlerinden biri, ulusal siyasi sistemlerin, parti rekabetinin ve göç hareketlerinin farklı olmasıdır. Dolayısıyla İtalya, Almanya ve Fransa örnekleri, tek bir Avrupa modelinin bulunduğunu göstermekten ziyade, benzer siyasal baskılar altında farklı politika araçlarının kullanılabildiğini göstermektedir.</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noktada aşırı sağın etkisi ile kamu politikalarının kurumsal gereklilikleri birbirinden ayrılmalıdır. Sınır yönetiminin güçlendirilmesi veya sığınma prosedürlerinin hızlandırılması tek başına aşırı sağ politikaların sonucu olarak kabul edilemez. Devletler aynı zamanda düzensiz göçün yönetilmesi, kamu kaynaklarının kullanımı ve sığınma sistemlerinin kapasitesi gibi idari sorunlara da yanıt vermektedir. Bununla birlikte aşırı sağın göçü güvenlik ve ulusal egemenlik ekseninde çerçevelemesi, bu politika araçlarının siyasal anlamını ve uygulanma biçimini etkileyebilmektedir.</w:t>
      </w:r>
    </w:p>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nedenle Avrupa’daki politika dönüşümünü değerlendirirken iki düzey birlikte ele alınmalıdır. İlk düzey, devletlerin ve AB’nin göç yönetimini daha etkin hale getirmeye yönelik kurumsal politikalarıdır. İkinci düzey ise bu politikaların siyasal söylemler ve seçim rekabeti içerisinde nasıl şekillendiğidir. İnsan hakları açısından asıl mesele de bu iki düzeyin kesiştiği noktada ortaya çıkmaktadır.</w:t>
      </w:r>
    </w:p>
    <w:p w:rsidR="00000000" w:rsidDel="00000000" w:rsidP="00000000" w:rsidRDefault="00000000" w:rsidRPr="00000000" w14:paraId="00000015">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hcc0p7xbjmg8" w:id="4"/>
      <w:bookmarkEnd w:id="4"/>
      <w:r w:rsidDel="00000000" w:rsidR="00000000" w:rsidRPr="00000000">
        <w:rPr>
          <w:rFonts w:ascii="Times New Roman" w:cs="Times New Roman" w:eastAsia="Times New Roman" w:hAnsi="Times New Roman"/>
          <w:b w:val="1"/>
          <w:bCs w:val="1"/>
          <w:sz w:val="24"/>
          <w:szCs w:val="24"/>
          <w:rtl w:val="0"/>
        </w:rPr>
        <w:t xml:space="preserve">Göç Politikalarının İnsan Hakları Boyutu</w:t>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Devletlerin ülkeye giriş, ikamet ve sınır dışı işlemlerini düzenleme konusunda yetkileri bulunmaktadır. Ancak bu yetki sınırsız değildir. Avrupa İnsan Hakları Sözleşmesi (AİHS) ve AİHM içtihadı, göç yönetimi sırasında devletlerin temel hak ve özgürlüklere ilişkin yükümlülüklerini korumaktadır.</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Özellikle kötü muamele yasağı, özgürlük ve güvenlik hakkı, etkili başvuru hakkı ve yabancıların toplu şekilde sınır dışı edilmesi yasağı göç politikaları bakımından önem taşımaktadır.</w:t>
      </w:r>
    </w:p>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AİHS’nin 3. maddesi, işkence ile insanlık dışı veya aşağılayıcı muamele ve cezayı yasaklamaktadır. Bu hüküm, bir kişinin gönderileceği ülkede gerçek ve ciddi bir kötü muamele riskiyle karşı karşıya bulunması durumunda geri gönderme işlemleri bakımından önemli bir hukuki sınır oluşturmaktadır.</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Bu nedenle sınır dışı veya geri gönderme politikalarının yalnızca göç kontrolü açısından değil, gönderilecek kişinin karşılaşabileceği muamele bakımından da değerlendirilmesi gerekmektedir.</w:t>
      </w:r>
    </w:p>
    <w:p w:rsidR="00000000" w:rsidDel="00000000" w:rsidP="00000000" w:rsidRDefault="00000000" w:rsidRPr="00000000" w14:paraId="0000001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AİHS’nin 5. maddesi de göçmenlerin ve sığınmacıların idari gözetim altında tutulması bakımından önem taşımaktadır. Göç amacıyla özgürlükten yoksun bırakma, Sözleşme’nin öngördüğü koşullara ve hukuki güvencelere uygun olmak zorundadır. Bu bağlamda tutulmanın hukuki dayanağının bulunması, kişinin durumunun denetlenebilmesi ve etkili bir hukuki başvuru imkânının sağlanması önem taşımaktadır.</w:t>
      </w:r>
    </w:p>
    <w:p w:rsidR="00000000" w:rsidDel="00000000" w:rsidP="00000000" w:rsidRDefault="00000000" w:rsidRPr="00000000" w14:paraId="0000001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diğer önemli düzenleme ise AİHS’ye Ek 4 No.lu Protokol’ün 4. maddesidir. Bu hüküm yabancıların toplu şekilde sınır dışı edilmesini yasaklamaktadır. AİHM içtihadında toplu sınır dışı kavramı, kişilerin bireysel durumları makul ve objektif biçimde incelenmeden grup halinde sınır dışı edilmeleriyle ilişkilendirilmektedir. Bu nedenle sınır yönetiminin hızlandırılması, bireysel değerlendirme yükümlülüğünün tamamen ortadan kaldırılması anlamına gelmemektedir.</w:t>
      </w:r>
    </w:p>
    <w:p w:rsidR="00000000" w:rsidDel="00000000" w:rsidP="00000000" w:rsidRDefault="00000000" w:rsidRPr="00000000" w14:paraId="0000001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konu bakımından güncel AİHM kararları önemlidir. J.A. and Others v. Italy kararında Mahkeme, Lampedusa’da tutulan Tunuslu göçmenlerin tutulma koşulları, özgürlüklerinden yoksun bırakılmaları ve Tunus’a gönderilmeleriyle bağlantılı olarak çeşitli Sözleşme ihlalleri tespit etmiştir.</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1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 tarihli H.Q. and Others v. Hungary kararı da bu bağlamda güncel bir örnek oluşturmaktadır. AİHM, başvurucuların Macaristan’dan Sırbistan sınırının dış tarafına bireysel durumları incelenmeden otomatik biçimde gönderilmeleri nedeniyle 4 No.lu Protokol’ün 4. maddesinin ihlal edildiğine karar vermiştir. Ayrıca etkili başvuru hakkı bakımından da ihlal tespit edilmiştir.</w:t>
      </w:r>
    </w:p>
    <w:p w:rsidR="00000000" w:rsidDel="00000000" w:rsidP="00000000" w:rsidRDefault="00000000" w:rsidRPr="00000000" w14:paraId="0000001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 tarihli O.H. and Others v. Serbia kararı ise sınır dışı ve geri gönderme işlemlerinde bireysel değerlendirme ile sığınma talebinin dikkate alınmasının önemini güncel biçimde ortaya koymaktadır. Karar, Sırbistan’dan Bulgaristan’a gönderilen Afgan uyruklu kişilere ilişkin olup bazı başvurucular bakımından 3. madde, 5. madde ve 4 No.lu Protokol’ün 4. maddesi kapsamında ihlal tespit edilmiştir.</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1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kararlar birlikte değerlendirildiğinde, Avrupa devletlerinin sınır kontrolü ve düzensiz göçle mücadele amacıyla çeşitli politika araçlarını kullanabileceği, ancak bu araçların uygulanmasının AİHS’den doğan yükümlülüklerle uyumlu olması gerektiği görülmektedir. Dolayısıyla sınırların daha etkin biçimde korunması veya geri dönüş prosedürlerinin hızlandırılması, bireysel değerlendirme ve etkili hukuki güvencelerden bağımsız değerlendirilemez.</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İnsan hakları perspektifinden temel sorun, göç yönetiminin etkinliği ile hakların korunması arasında zorunlu bir karşıtlık bulunup bulunmadığı değildir. Asıl mesele, göç yönetiminin hangi yöntemlerle gerçekleştirildiğidir. Sınır kontrollerinin güçlendirilmesi, sığınma prosedürlerinin hızlandırılması veya geri dönüş mekanizmalarının geliştirilmesi kendi başına AİHS’ye aykırı değildir. Ancak bu araçların uygulanması sırasında bireysel durumların dikkate alınmaması, kötü muamele riskinin değerlendirilmemesi veya etkili başvuru yollarının ortadan kaldırılması insan hakları bakımından sorun yaratabilmektedir.</w:t>
      </w:r>
    </w:p>
    <w:p w:rsidR="00000000" w:rsidDel="00000000" w:rsidP="00000000" w:rsidRDefault="00000000" w:rsidRPr="00000000" w14:paraId="0000001F">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kk0wpc77chr" w:id="5"/>
      <w:bookmarkEnd w:id="5"/>
      <w:r w:rsidDel="00000000" w:rsidR="00000000" w:rsidRPr="00000000">
        <w:rPr>
          <w:rFonts w:ascii="Times New Roman" w:cs="Times New Roman" w:eastAsia="Times New Roman" w:hAnsi="Times New Roman"/>
          <w:b w:val="1"/>
          <w:bCs w:val="1"/>
          <w:sz w:val="24"/>
          <w:szCs w:val="24"/>
          <w:rtl w:val="0"/>
        </w:rPr>
        <w:t xml:space="preserve">Aşırı Sağ, Göç Politikaları ve İnsan Hakları Arasındaki İlişkinin Değerlendirilmesi</w:t>
      </w:r>
    </w:p>
    <w:p w:rsidR="00000000" w:rsidDel="00000000" w:rsidP="00000000" w:rsidRDefault="00000000" w:rsidRPr="00000000" w14:paraId="0000002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Avrupa’da aşırı sağın yükselişi ile göç politikalarının dönüşümü arasında belirli bir ilişki bulunmaktadır; ancak bu ilişkinin doğrudan ve tek yönlü bir nedensellik olarak değerlendirilmesi akademik açıdan sorunludur. Aşırı sağ partiler göç konusunu siyasal gündemin merkezine taşıyabilir, göçü güvenlik ve ulusal kimlik ekseninde çerçeveleyebilir ve diğer partiler üzerinde politika değişikliği yönünde baskı oluşturabilir. Bununla birlikte ana akım partilerin seçim stratejileri, kamuoyu tutumları, göç hareketlerinin niteliği, ekonomik koşullar ve AB’nin ortak politika oluşturma süreci de göç politikalarının şekillenmesinde rol oynamaktadır.</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nedenle Avrupa’daki dönüşüm, aşırı sağın yükselişi ile devletlerin politika tercihleri arasında basit bir “neden-sonuç” ilişkisi yerine, birbirini etkileyen siyasal ve kurumsal süreçler çerçevesinde değerlendirilmelidir. Aşırı sağın etkisi kimi durumlarda doğrudan hükümet politikaları üzerinden, kimi durumlarda ise ana akım partilerin söylem ve politika değişiklikleri üzerinden ortaya çıkabilmektedir.</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İnsan hakları açısından ise bu dönüşümün temel sınırı Avrupa insan hakları hukukudur. Devletler göçü kontrol etme ve sınırlarını koruma yetkisine sahip olmakla birlikte, bu yetkinin AİHS’de güvence altına alınan haklarla uyumlu biçimde kullanılması gerekmektedir. Özellikle sınır dışı etme, geri gönderme, idari gözetim ve sığınma prosedürlerine erişim konuları AİHM içtihadı tarafından belirlenen hukuki sınırlar içerisinde ele alınmalıdır.</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Dolayısıyla aşırı sağın yükselişi, Avrupa’daki göç politikalarının dönüşümünü anlamak açısından önemli bir faktör olmakla birlikte tek başına yeterli açıklama değildir. Siyasal söylem, seçim rekabeti, devlet kapasitesi, AB politikaları ve insan hakları yükümlülükleri birlikte değerlendirildiğinde daha kapsamlı bir açıklama ortaya çıkmaktadır.</w:t>
      </w:r>
    </w:p>
    <w:p w:rsidR="00000000" w:rsidDel="00000000" w:rsidP="00000000" w:rsidRDefault="00000000" w:rsidRPr="00000000" w14:paraId="00000024">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ar3o7ecolke" w:id="6"/>
      <w:bookmarkEnd w:id="6"/>
      <w:r w:rsidDel="00000000" w:rsidR="00000000" w:rsidRPr="00000000">
        <w:rPr>
          <w:rFonts w:ascii="Times New Roman" w:cs="Times New Roman" w:eastAsia="Times New Roman" w:hAnsi="Times New Roman"/>
          <w:b w:val="1"/>
          <w:bCs w:val="1"/>
          <w:sz w:val="24"/>
          <w:szCs w:val="24"/>
          <w:rtl w:val="0"/>
        </w:rPr>
        <w:t xml:space="preserve">Sonuç</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Avrupa’da son yıllarda aşırı sağ ve radikal sağ aktörlerin siyasal görünürlüğünün artması, göç ve sığınma konularının Avrupa siyasetindeki ağırlığını artırmıştır. Göçün güvenlik, ulusal kimlik ve kamu düzeni çerçevesinde ele alınması, yalnızca aşırı sağ partilerin söylemleriyle sınırlı kalmamış; bazı ana akım partilerin de göç politikalarında daha kısıtlayıcı pozisyonlara yönelmesine katkıda bulunmuştur.</w:t>
      </w:r>
    </w:p>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Bununla birlikte Avrupa’daki göç politikalarının dönüşümünü yalnızca aşırı sağın yükselişiyle açıklamak mümkün değildir. AB’nin ortak göç ve sığınma politikası oluşturma çabaları, düzensiz göç hareketleri, kamuoyu tutumları, seçim rekabeti ve ulusal hükümetlerin politika tercihleri de bu dönüşümde etkili olmuştur. 2024 yılında kabul edilen ve 2026 yılında uygulanmaya başlayan Yeni Göç ve İltica Paktı, bu çok aktörlü dönüşümün Avrupa Birliği düzeyindeki en önemli örneklerinden biridir.</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İnsan hakları açısından ise temel mesele, göç politikalarının daha kısıtlayıcı veya daha etkin hale gelmesinden ziyade, bu politikaların hangi hukuki araçlarla uygulandığıdır. AİHM’nin İtalya, Macaristan ve Sırbistan’a ilişkin güncel kararları, sınır kontrolü ve geri gönderme politikalarında bireysel değerlendirme, etkili başvuru ve kötü muamele riskinin dikkate alınması gibi yükümlülüklerin önemini ortaya koymaktadır.</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Sonuç olarak Avrupa’da aşırı sağın yükselişi ile göç politikalarının dönüşümü arasında anlamlı bir siyasal ilişki bulunmaktadır; ancak bu ilişki çok faktörlü bir süreç içerisinde değerlendirilmelidir. Aşırı sağın göç konusunu siyasallaştırması ve diğer partiler üzerindeki etkisi, politika dönüşümünün unsurlarından biridir. Buna karşılık Avrupa insan hakları hukuku, devletlerin göç yönetimi alanındaki yetkilerine önemli hukuki sınırlar getirmektedir. Bu nedenle Avrupa’nın gelecekteki göç politikalarının değerlendirilmesinde siyasal eğilimler kadar insan hakları ve hukukun üstünlüğü ilkelerinin de dikkate alınması gerekmektedir.</w:t>
      </w:r>
    </w:p>
    <w:p w:rsidR="00000000" w:rsidDel="00000000" w:rsidP="00000000" w:rsidRDefault="00000000" w:rsidRPr="00000000" w14:paraId="00000029">
      <w:pPr>
        <w:pStyle w:val="Heading1"/>
        <w:keepNext w:val="0"/>
        <w:keepLines w:val="0"/>
        <w:spacing w:before="480" w:lineRule="auto"/>
        <w:rPr>
          <w:rFonts w:ascii="Times New Roman" w:cs="Times New Roman" w:eastAsia="Times New Roman" w:hAnsi="Times New Roman"/>
          <w:b w:val="1"/>
          <w:bCs w:val="1"/>
          <w:sz w:val="24"/>
          <w:szCs w:val="24"/>
        </w:rPr>
      </w:pPr>
      <w:bookmarkStart w:colFirst="0" w:colLast="0" w:name="_ec1b5mydyaxb" w:id="7"/>
      <w:bookmarkEnd w:id="7"/>
      <w:r w:rsidDel="00000000" w:rsidR="00000000" w:rsidRPr="00000000">
        <w:rPr>
          <w:rFonts w:ascii="Times New Roman" w:cs="Times New Roman" w:eastAsia="Times New Roman" w:hAnsi="Times New Roman"/>
          <w:b w:val="1"/>
          <w:bCs w:val="1"/>
          <w:sz w:val="24"/>
          <w:szCs w:val="24"/>
          <w:rtl w:val="0"/>
        </w:rPr>
        <w:t xml:space="preserve">Kaynakça</w:t>
      </w:r>
    </w:p>
    <w:p w:rsidR="00000000" w:rsidDel="00000000" w:rsidP="00000000" w:rsidRDefault="00000000" w:rsidRPr="00000000" w14:paraId="0000002A">
      <w:pPr>
        <w:numPr>
          <w:ilvl w:val="0"/>
          <w:numId w:val="1"/>
        </w:numPr>
        <w:spacing w:after="0" w:afterAutospacing="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Council of the European Union. (2026). </w:t>
      </w:r>
      <w:r w:rsidDel="00000000" w:rsidR="00000000" w:rsidRPr="00000000">
        <w:rPr>
          <w:rFonts w:ascii="Times New Roman" w:cs="Times New Roman" w:eastAsia="Times New Roman" w:hAnsi="Times New Roman"/>
          <w:i w:val="1"/>
          <w:iCs w:val="1"/>
          <w:sz w:val="24"/>
          <w:szCs w:val="24"/>
          <w:rtl w:val="0"/>
        </w:rPr>
        <w:t xml:space="preserve">Pact on migration and asylum</w:t>
      </w:r>
      <w:r w:rsidDel="00000000" w:rsidR="00000000" w:rsidRPr="00000000">
        <w:rPr>
          <w:rFonts w:ascii="Times New Roman" w:cs="Times New Roman" w:eastAsia="Times New Roman" w:hAnsi="Times New Roman"/>
          <w:sz w:val="24"/>
          <w:szCs w:val="24"/>
          <w:rtl w:val="0"/>
        </w:rPr>
        <w:t xml:space="preserve">. European Union.</w:t>
      </w:r>
    </w:p>
    <w:p w:rsidR="00000000" w:rsidDel="00000000" w:rsidP="00000000" w:rsidRDefault="00000000" w:rsidRPr="00000000" w14:paraId="0000002B">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Ellger, F., &amp; Klüver, H. (2025). Adopting restriction: How coalition governments respond to radical right parties. </w:t>
      </w:r>
      <w:r w:rsidDel="00000000" w:rsidR="00000000" w:rsidRPr="00000000">
        <w:rPr>
          <w:rFonts w:ascii="Times New Roman" w:cs="Times New Roman" w:eastAsia="Times New Roman" w:hAnsi="Times New Roman"/>
          <w:i w:val="1"/>
          <w:iCs w:val="1"/>
          <w:sz w:val="24"/>
          <w:szCs w:val="24"/>
          <w:rtl w:val="0"/>
        </w:rPr>
        <w:t xml:space="preserve">West European Politics, 48</w:t>
      </w:r>
      <w:r w:rsidDel="00000000" w:rsidR="00000000" w:rsidRPr="00000000">
        <w:rPr>
          <w:rFonts w:ascii="Times New Roman" w:cs="Times New Roman" w:eastAsia="Times New Roman" w:hAnsi="Times New Roman"/>
          <w:sz w:val="24"/>
          <w:szCs w:val="24"/>
          <w:rtl w:val="0"/>
        </w:rPr>
        <w:t xml:space="preserve">(6), 1299–1331.</w:t>
      </w:r>
    </w:p>
    <w:p w:rsidR="00000000" w:rsidDel="00000000" w:rsidP="00000000" w:rsidRDefault="00000000" w:rsidRPr="00000000" w14:paraId="0000002C">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European Commission. (2026, June 12). </w:t>
      </w:r>
      <w:r w:rsidDel="00000000" w:rsidR="00000000" w:rsidRPr="00000000">
        <w:rPr>
          <w:rFonts w:ascii="Times New Roman" w:cs="Times New Roman" w:eastAsia="Times New Roman" w:hAnsi="Times New Roman"/>
          <w:i w:val="1"/>
          <w:iCs w:val="1"/>
          <w:sz w:val="24"/>
          <w:szCs w:val="24"/>
          <w:rtl w:val="0"/>
        </w:rPr>
        <w:t xml:space="preserve">New migration and asylum rules enter into application: What is changing?</w:t>
      </w:r>
    </w:p>
    <w:p w:rsidR="00000000" w:rsidDel="00000000" w:rsidP="00000000" w:rsidRDefault="00000000" w:rsidRPr="00000000" w14:paraId="0000002D">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European Court of Human Rights. (2023). </w:t>
      </w:r>
      <w:r w:rsidDel="00000000" w:rsidR="00000000" w:rsidRPr="00000000">
        <w:rPr>
          <w:rFonts w:ascii="Times New Roman" w:cs="Times New Roman" w:eastAsia="Times New Roman" w:hAnsi="Times New Roman"/>
          <w:i w:val="1"/>
          <w:iCs w:val="1"/>
          <w:sz w:val="24"/>
          <w:szCs w:val="24"/>
          <w:rtl w:val="0"/>
        </w:rPr>
        <w:t xml:space="preserve">J.A. and Others v. Italy</w:t>
      </w:r>
      <w:r w:rsidDel="00000000" w:rsidR="00000000" w:rsidRPr="00000000">
        <w:rPr>
          <w:rFonts w:ascii="Times New Roman" w:cs="Times New Roman" w:eastAsia="Times New Roman" w:hAnsi="Times New Roman"/>
          <w:sz w:val="24"/>
          <w:szCs w:val="24"/>
          <w:rtl w:val="0"/>
        </w:rPr>
        <w:t xml:space="preserve">, Applications nos. 21329/18 et al., Judgment of 30 March 2023.</w:t>
      </w:r>
    </w:p>
    <w:p w:rsidR="00000000" w:rsidDel="00000000" w:rsidP="00000000" w:rsidRDefault="00000000" w:rsidRPr="00000000" w14:paraId="0000002E">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European Court of Human Rights. (2025). </w:t>
      </w:r>
      <w:r w:rsidDel="00000000" w:rsidR="00000000" w:rsidRPr="00000000">
        <w:rPr>
          <w:rFonts w:ascii="Times New Roman" w:cs="Times New Roman" w:eastAsia="Times New Roman" w:hAnsi="Times New Roman"/>
          <w:i w:val="1"/>
          <w:iCs w:val="1"/>
          <w:sz w:val="24"/>
          <w:szCs w:val="24"/>
          <w:rtl w:val="0"/>
        </w:rPr>
        <w:t xml:space="preserve">H.Q. and Others v. Hungary</w:t>
      </w:r>
      <w:r w:rsidDel="00000000" w:rsidR="00000000" w:rsidRPr="00000000">
        <w:rPr>
          <w:rFonts w:ascii="Times New Roman" w:cs="Times New Roman" w:eastAsia="Times New Roman" w:hAnsi="Times New Roman"/>
          <w:sz w:val="24"/>
          <w:szCs w:val="24"/>
          <w:rtl w:val="0"/>
        </w:rPr>
        <w:t xml:space="preserve">, Applications nos. 46084/21, 40185/22 and 53952/22, Judgment of 24 June 2025.</w:t>
      </w:r>
    </w:p>
    <w:p w:rsidR="00000000" w:rsidDel="00000000" w:rsidP="00000000" w:rsidRDefault="00000000" w:rsidRPr="00000000" w14:paraId="0000002F">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European Court of Human Rights. (2026). </w:t>
      </w:r>
      <w:r w:rsidDel="00000000" w:rsidR="00000000" w:rsidRPr="00000000">
        <w:rPr>
          <w:rFonts w:ascii="Times New Roman" w:cs="Times New Roman" w:eastAsia="Times New Roman" w:hAnsi="Times New Roman"/>
          <w:i w:val="1"/>
          <w:iCs w:val="1"/>
          <w:sz w:val="24"/>
          <w:szCs w:val="24"/>
          <w:rtl w:val="0"/>
        </w:rPr>
        <w:t xml:space="preserve">O.H. and Others v. Serbia</w:t>
      </w:r>
      <w:r w:rsidDel="00000000" w:rsidR="00000000" w:rsidRPr="00000000">
        <w:rPr>
          <w:rFonts w:ascii="Times New Roman" w:cs="Times New Roman" w:eastAsia="Times New Roman" w:hAnsi="Times New Roman"/>
          <w:sz w:val="24"/>
          <w:szCs w:val="24"/>
          <w:rtl w:val="0"/>
        </w:rPr>
        <w:t xml:space="preserve">, no. 57185/17, Judgment of 3 February 2026.</w:t>
      </w:r>
    </w:p>
    <w:p w:rsidR="00000000" w:rsidDel="00000000" w:rsidP="00000000" w:rsidRDefault="00000000" w:rsidRPr="00000000" w14:paraId="00000030">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European Parliament. (2024). </w:t>
      </w:r>
      <w:r w:rsidDel="00000000" w:rsidR="00000000" w:rsidRPr="00000000">
        <w:rPr>
          <w:rFonts w:ascii="Times New Roman" w:cs="Times New Roman" w:eastAsia="Times New Roman" w:hAnsi="Times New Roman"/>
          <w:i w:val="1"/>
          <w:iCs w:val="1"/>
          <w:sz w:val="24"/>
          <w:szCs w:val="24"/>
          <w:rtl w:val="0"/>
        </w:rPr>
        <w:t xml:space="preserve">Size of political groups in the European Parliament</w:t>
      </w:r>
      <w:r w:rsidDel="00000000" w:rsidR="00000000" w:rsidRPr="00000000">
        <w:rPr>
          <w:rFonts w:ascii="Times New Roman" w:cs="Times New Roman" w:eastAsia="Times New Roman" w:hAnsi="Times New Roman"/>
          <w:sz w:val="24"/>
          <w:szCs w:val="24"/>
          <w:rtl w:val="0"/>
        </w:rPr>
        <w:t xml:space="preserve">. European Parliamentary Research Service.</w:t>
      </w:r>
    </w:p>
    <w:p w:rsidR="00000000" w:rsidDel="00000000" w:rsidP="00000000" w:rsidRDefault="00000000" w:rsidRPr="00000000" w14:paraId="00000031">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European Union Agency for Asylum. (2026). </w:t>
      </w:r>
      <w:r w:rsidDel="00000000" w:rsidR="00000000" w:rsidRPr="00000000">
        <w:rPr>
          <w:rFonts w:ascii="Times New Roman" w:cs="Times New Roman" w:eastAsia="Times New Roman" w:hAnsi="Times New Roman"/>
          <w:i w:val="1"/>
          <w:iCs w:val="1"/>
          <w:sz w:val="24"/>
          <w:szCs w:val="24"/>
          <w:rtl w:val="0"/>
        </w:rPr>
        <w:t xml:space="preserve">Asylum report 2026: Executive summary</w:t>
      </w:r>
      <w:r w:rsidDel="00000000" w:rsidR="00000000" w:rsidRPr="00000000">
        <w:rPr>
          <w:rFonts w:ascii="Times New Roman" w:cs="Times New Roman" w:eastAsia="Times New Roman" w:hAnsi="Times New Roman"/>
          <w:sz w:val="24"/>
          <w:szCs w:val="24"/>
          <w:rtl w:val="0"/>
        </w:rPr>
        <w:t xml:space="preserve">. EUAA.</w:t>
      </w:r>
    </w:p>
    <w:p w:rsidR="00000000" w:rsidDel="00000000" w:rsidP="00000000" w:rsidRDefault="00000000" w:rsidRPr="00000000" w14:paraId="00000032">
      <w:pPr>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Geese, L. (2025). Tough positions, trustful voters? How mainstream party position-taking on immigration shapes political trust and its impact on far-right voting. </w:t>
      </w:r>
      <w:r w:rsidDel="00000000" w:rsidR="00000000" w:rsidRPr="00000000">
        <w:rPr>
          <w:rFonts w:ascii="Times New Roman" w:cs="Times New Roman" w:eastAsia="Times New Roman" w:hAnsi="Times New Roman"/>
          <w:i w:val="1"/>
          <w:iCs w:val="1"/>
          <w:sz w:val="24"/>
          <w:szCs w:val="24"/>
          <w:rtl w:val="0"/>
        </w:rPr>
        <w:t xml:space="preserve">Government and Opposition, 60</w:t>
      </w:r>
      <w:r w:rsidDel="00000000" w:rsidR="00000000" w:rsidRPr="00000000">
        <w:rPr>
          <w:rFonts w:ascii="Times New Roman" w:cs="Times New Roman" w:eastAsia="Times New Roman" w:hAnsi="Times New Roman"/>
          <w:sz w:val="24"/>
          <w:szCs w:val="24"/>
          <w:rtl w:val="0"/>
        </w:rPr>
        <w:t xml:space="preserve">, 404–430.</w:t>
      </w:r>
    </w:p>
    <w:p w:rsidR="00000000" w:rsidDel="00000000" w:rsidP="00000000" w:rsidRDefault="00000000" w:rsidRPr="00000000" w14:paraId="00000033">
      <w:pPr>
        <w:numPr>
          <w:ilvl w:val="0"/>
          <w:numId w:val="1"/>
        </w:numPr>
        <w:spacing w:after="24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Hopyar, Z. (2024). Avrupa’da göçün güvenlikleştirilmesinde aşırı sağ partilerin rolü. </w:t>
      </w:r>
      <w:r w:rsidDel="00000000" w:rsidR="00000000" w:rsidRPr="00000000">
        <w:rPr>
          <w:rFonts w:ascii="Times New Roman" w:cs="Times New Roman" w:eastAsia="Times New Roman" w:hAnsi="Times New Roman"/>
          <w:i w:val="1"/>
          <w:iCs w:val="1"/>
          <w:sz w:val="24"/>
          <w:szCs w:val="24"/>
          <w:rtl w:val="0"/>
        </w:rPr>
        <w:t xml:space="preserve">İmgelem</w:t>
      </w:r>
      <w:r w:rsidDel="00000000" w:rsidR="00000000" w:rsidRPr="00000000">
        <w:rPr>
          <w:rFonts w:ascii="Times New Roman" w:cs="Times New Roman" w:eastAsia="Times New Roman" w:hAnsi="Times New Roman"/>
          <w:sz w:val="24"/>
          <w:szCs w:val="24"/>
          <w:rtl w:val="0"/>
        </w:rPr>
        <w:t xml:space="preserve">, 14, 125–156.</w:t>
      </w:r>
    </w:p>
    <w:p w:rsidR="00000000" w:rsidDel="00000000" w:rsidP="00000000" w:rsidRDefault="00000000" w:rsidRPr="00000000" w14:paraId="00000034">
      <w:pPr>
        <w:spacing w:after="240" w:befor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Parliament, “Size of Political Groups in the European Parliament,” European Parliamentary Research Service, 2024.</w:t>
      </w:r>
    </w:p>
  </w:footnote>
  <w:footnote w:id="1">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Council of the European Union, “Pact on Migration and Asylum,” European Union, 2026.</w:t>
      </w:r>
    </w:p>
  </w:footnote>
  <w:footnote w:id="2">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Union Agency for Asylum, Asylum Report 2026: Executive Summary (Valletta: EUAA, 2026).</w:t>
      </w:r>
    </w:p>
  </w:footnote>
  <w:footnote w:id="3">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Zehra Hopyar, “Avrupa’da Göçün Güvenlikleştirilmesinde Aşırı Sağ Partilerin Rolü,” İmgelem, no. 14 (2024): 125–156. </w:t>
      </w:r>
    </w:p>
  </w:footnote>
  <w:footnote w:id="4">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Lucas Geese, “Tough Positions, Trustful Voters? How Mainstream Party Position-Taking on Immigration Shapes Political Trust and its Impact on Far-Right Voting,” Government and Opposition 60 (2025): 404–430.</w:t>
      </w:r>
    </w:p>
  </w:footnote>
  <w:footnote w:id="5">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Fabio Ellger and Heike Klüver, “Adopting Restriction: How Coalition Governments Respond to Radical Right Parties,” West European Politics 48, no. 6 (2025): 1299–1331.</w:t>
      </w:r>
    </w:p>
  </w:footnote>
  <w:footnote w:id="6">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Council of the European Union, “Pact on Migration and Asylum”; European Commission, “New Migration and Asylum Rules Enter into Application: What Is Changing?,” 12 June 2026.</w:t>
      </w:r>
    </w:p>
  </w:footnote>
  <w:footnote w:id="7">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Court of Human Rights, The Court’s Case-Law on Immigration Matters, European Court of Human Rights, 2026; European Court of Human Rights, Guide on Article 4 of Protocol No. 4 to the European Convention on Human Rights: Prohibition of Collective Expulsion of Aliens, updated 2026.</w:t>
      </w:r>
    </w:p>
  </w:footnote>
  <w:footnote w:id="8">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Court of Human Rights, The Court’s Case-Law on Immigration Matters, 2026.</w:t>
      </w:r>
    </w:p>
  </w:footnote>
  <w:footnote w:id="9">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Court of Human Rights, J.A. and Others v. Italy, Applications nos. 21329/18 et al., Judgment of 30 March 2023, final 30 June 2023; European Court of Human Rights, H.Q. and Others v. Hungary, Applications nos. 46084/21, 40185/22 and 53952/22, Judgment of 24 June 2025.</w:t>
      </w:r>
    </w:p>
  </w:footnote>
  <w:footnote w:id="10">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Court of Human Rights, O.H. and Others v. Serbia, no. 57185/17, Judgment of 3 February 2026.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